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2014/350 vom 2. Dezember 2016</w:t>
      </w:r>
    </w:p>
    <w:p>
      <w:r>
        <w:t>Sg Versicherungsgericht, 2016-12-02, DE</w:t>
      </w:r>
    </w:p>
    <w:p>
      <w:r>
        <w:rPr>
          <w:b/>
        </w:rPr>
        <w:t xml:space="preserve">Quelle: </w:t>
      </w:r>
      <w:r>
        <w:t>https://mcp.opencaselaw.ch/entscheid/sg_publikationen_IV 2014_350</w:t>
      </w:r>
    </w:p>
    <w:p>
      <w:r>
        <w:t>FR: SG_VERSICHERUNGSGERICHT IV 2014/350 du 2 décembre 2016</w:t>
      </w:r>
    </w:p>
    <w:p>
      <w:r>
        <w:t>IT: SG_VERSICHERUNGSGERICHT IV 2014/350 del 2 dicembre 2016</w:t>
      </w:r>
    </w:p>
    <w:p>
      <w:pPr>
        <w:pStyle w:val="Heading2"/>
      </w:pPr>
      <w:r>
        <w:t>Regeste</w:t>
      </w:r>
    </w:p>
    <w:p>
      <w:r>
        <w:t>Art. 28 IVG und Art. 17 Abs. 1 ATSG. Weder der Umzug in ein Einfamilienhaus noch das Heranwachsen von Kindern vermag eine revisionsbegründende Veränderung zu bilden (Entscheid des Versicherungsgerichts des Kantons St. Gallen vom 2. Dezember 2016, IV 2014/350).</w:t>
      </w:r>
    </w:p>
    <w:p>
      <w:pPr>
        <w:pStyle w:val="Heading2"/>
      </w:pPr>
      <w:r>
        <w:t>Erwägungen</w:t>
      </w:r>
    </w:p>
    <w:p>
      <w:r>
        <w:rPr>
          <w:b/>
        </w:rPr>
        <w:t>E. 1</w:t>
      </w:r>
    </w:p>
    <w:p>
      <w:r>
        <w:t>Zwischen den Parteien umstritten und nachfolgend zu prüfen ist die Rechtmässigkeit der verfügten revisionsweisen Rentenaufhebung. Die Beschwerdegegnerin vertritt den Standpunkt, es liege im Vergleich zur ursprünglichen Rentenzusprache (ausschliesslich) bezogen auf den Haushaltsbereich eine Sachverhaltsänderung (Wohnverhältnisse und Schadenminderungspflicht der Kinder) vor, welche die Aufhebung der bisherigen Rentenleistung rechtfertige (act. G 6). Zu beurteilen ist damit, ob im Haushaltsbereich rechtserhebliche Änderungen eingetreten sind, die eine revisonsweise Rentenaufhebung zu begründen vermögen.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w:t>
      </w:r>
    </w:p>
    <w:p>
      <w:r>
        <w:rPr>
          <w:b/>
        </w:rPr>
        <w:t>E. 2</w:t>
      </w:r>
    </w:p>
    <w:p>
      <w:r>
        <w:t>2.1  Die Beschwerdegegnerin erblickt im Umstand, dass die Beschwerdeführerin nicht mehr in einer 4 ½-Zimmerwohnung (IV-act. 15-5), sondern inzwischen in einem Einfamilienhaus mit 8 Zimmern (IV-act. 145-6) wohnt, einen Revisionsgrund im Sinn von Art. 17 Abs. 1 ATSG (act. G 6). Die Frage, ob eine Veränderung der Wohnverhältnisse bei ansonsten unveränderten Umständen überhaupt einen Anpassungsgrund für eine Rentenaufhebung darzustellen vermag, kann offen gelassen werden. Denn aus den vorliegend zu beurteilenden Verhältnissen geht hervor, dass der Umzug in das Einfamilienhaus gemäss Abklärung vor Ort ohne Einfluss auf den Aufgabenbereich bzw. auf die Fähigkeit der Beschwerdeführerin, diesen zu besorgen, geblieben ist. Wie bereits anlässlich der erstmaligen Haushaltsabklärung wurde der Bereich Wohnungspflege bei der Abklärung vom 19. November 2013 mit 10% gewichtet (IV-act. 15-9 und IV-act. 145-6). Der Wechsel der Wohnräumlichkeiten für sich allein ist folglich ohne Einfluss auf die Restleistungsfähigkeit der Beschwerdeführerin im Aufgabenbereich geblieben, weshalb er zwangsläufig nicht zu einer erheblichen Änderung des Invaliditätsgrads führt. Die Beschwerdegegnerin bringt denn auch nicht substanziiert vor, dass sich die Fähigkeit der Beschwerdeführerin, ihren Aufgabenbereich zu besorgen, allein durch den Umzug gesteigert hätte. Dass nach der Auffassung der Abklärungsperson keine Einschränkung mehr im Bereich Wohnungspflege resultierte, ist ausschliesslich auf die angerechnete Schadenminderungspflicht der Kinder der Beschwerdeführerin zurückzuführen (IV-act. 145-9; siehe hierzu nachstehende E. 2.2). 2.2  Des Weiteren bringt die Beschwerdegegnerin vor, dass sich die familiären Verhältnisse der Beschwerdeführerin in einem revisionsbegründendem Ausmass verändert hätten. Die Beschwerdeführerin habe inzwischen 4 Kinder, denen eine Schadenminderungspflicht bei der Erledigung der Haushaltsarbeiten zugemutet werden könne. Dies führe zu einem geringeren Invaliditätsgrad im Aufgabenbereich (act. G 6). 2.2.1  Die Schadenminderungspflicht (BGE 140 V 274 E. 5.2.1) gilt im gesamten Bereich der Sozialversicherungen. Es erscheint allerdings fraglich, ob es überhaupt zulässig ist, unter Verweis auf die Schadenminderungspflicht leistungsansprechenden Personen (Eltern) gestützt auf das Verhalten einer anderen Person (etwa der Kinder) und damit eines nicht im Einflussbereich der versicherten Person liegenden Umstands (Ausübung einer Mithilfe im Aufgabenbereich durch das Kind) eine Leistung zu verweigern oder aufzuheben (vgl. amtlich zu publizierendes Urteil des Bundesgerichts vom 13. Juli 2016, 8C_54/2016, E. 6.2). Die Invalidenversicherung bietet in der hier interessierenden Thematik Schutz gegen die Beeinträchtigung in der Fähigkeit der versicherten Person, Arbeit im Aufgabenbereich zu erledigen. Im Bericht der Eidgenössischen Expertenkommission für die Einführung der Invalidenversicherung vom 30. November 1956 war die Rede vom "Mass der Unfähigkeit, die Hausfrauenarbeit weiterzubesorgen". Abzustellen sei auf die spezifische Arbeitsunfähigkeit der Hausfrau (S. 117 des Expertenberichts; vgl. auch BBl 1958 II 1162: "Unfähigkeit der Versicherten, sich in ihrem bisherigen Aufgabenbereich zu betätigen"). Versichert ist folglich das beeinträchtigte Leistungspotenzial der versicherten Person und nicht der Haushalt an sich bzw. der aufgrund der gesundheitlichen Beeinträchtigung tatsächlich unverrichtete Teil der Haushaltsarbeit. Der allfällige Einsatz von Arbeitskraft der Familienangehörigen im Haushaltsbereich vermag den in der Verringerung der Leistungsfähigkeit der versicherten Person liegende Schaden (Beeinträchtigung der Fähigkeit der versicherten Person zur Haushaltsbesorgung) damit nicht zu beseitigen bzw. zu verringern, selbst wenn dadurch die aufgrund der Leistungsbeeinträchtigung des versicherten Elternteils unerledigt gebliebenen Haushaltsarbeiten (teilweise) besorgt würden. Die Mithilfe der Familienangehörigen kann zwangsläufig auch nicht unter dem Titel der Schadenminderungspflicht bei der Ermittlung der Invalidität Berücksichtigung finden, da sie ohne Einfluss auf den in der Person des versicherten Elternteils liegenden Schaden bleibt. Dementsprechend kennt auch die Invaliditätsbemessung im Erwerbsbereich für die Ermittlung des Invalideneinkommens zu Recht keine Schadenminderungspflicht von Familienangehörigen. Im Erwerbsbereich bildet ebenfalls das Potenzial - nämlich die Fähigkeit zum Erwerb und nicht der Erwerb als solcher - das versicherte Rechtsgut. Ein Rentenanspruch gegenüber der Invalidenversicherung bezieht sich auf Ersatz für den "Ausfall an Erwerbsfähigkeit" und nicht auf Ersatz "des Erwerbsausfalles, der Erwerbseinbusse" (S. 119 f. des Expertenberichts). Entscheidend ist einzig und allein, ob die versicherte Person angesichts ihrer körperlichen und geistigen Kräfte imstande wäre, eine ihr offen stehende Erwerbsmöglichkeit auszunutzen (S. 27 f. des Expertenberichts). Nichts anderes kann für die Fähigkeit, den Haushalt zu besorgen, gelten. Denn auch dort bildet der Schaden die Unfähigkeit, eine Arbeit - wenn auch im Haushalt und nicht auf dem ausgeglichenen Arbeitsmarkt - zu leisten. Dass ferner im Erwerb - quasi als Pendant zur Schadenminderungspflicht der Familienangehörigen - eine Schadenminderungspflicht der Arbeitskollegen zu berücksichtigen wäre, hat das Bundesgericht zu Recht nie behauptet. 2.2.2  Im Zeitpunkt der ursprünglichen Rentenzusprache vom 25. Oktober 2001 (IV-act. 52) war die Beschwerdeführerin Mutter von 3 Kindern (geboren 19__, 19__ und 20__; vgl. IV-act. 52-1 und IV-act. 145-5). Zu beachten ist, dass bei der Ermittlung der Beeinträchtigung im Haushaltsbereich von 29% gemäss Abklärungsbericht vom 30. Dezember 1997/20. Januar 1998, wie sie der ursprünglichen Rentenverfügung zugrunde lag, lediglich das Erstgeborene Berücksichtigung fand (an das Haushaltspensum gewichtete Behinderung aufgrund Kinderbetreuung von 1,5%, IV-act. 15-11). Im Jahr 2003 gebar die Beschwerdeführerin zudem ein weiteres Kind (IV-act. 145-5). Auch dieser Umstand blieb von der Beschwerdegegnerin bis zum hier streitigen Revisionsverfahren leistungsrechtlich unberücksichtigt. 2.2.3  Soweit ersichtlich wurde in der bundesgerichtlichen Rechtsprechung eine revisionsbegründende Veränderung ausschliesslich gestützt auf die Schadenminderungspflicht der herangewachsenen Kinder bislang offenbar nicht bejaht. Vor Erlass des ATSG (in Kraft seit: 1. Januar 2003) gelangte das Eidgenössische Versicherungsgericht (EVG; seit 1. Januar 2007: Sozialrechtliche Abteilungen des Bundesgerichts) im Entscheid vom 10. Oktober 1972 zur Auffassung, dass im konkreten Fall das Heranwachsen eines Kindes im massgebenden Aufgabenbereich keine rechtserhebliche Änderung darstellt. Durch das Heranwachsen eines Kindes werde lediglich von einer Verlagerung der Aufgaben der Mutter gesprochen werden können; diese blosse Verschiebung von Aufgaben wirke sich jedoch nicht auf die Invalidität aus. Der Umstand, dass Kinder heranwachsen, bewirke mithin unter den konkreten Verhältnissen keine Verminderung der Invalidität und rechtfertige die Annahme einer rechtserheblichen Änderung des Invaliditätsgrads nicht; dies umso weniger, als seinerzeit der Invaliditätsgrad nach der Geburt des ersten Kindes auf 70% erhöht worden, beim zweiten Kind aber unverändert geblieben sei (ZAK 1974 S. 53 E. 3; zur Bedeutung der altrechtlichen Rechtsprechung auch unter der Herrschaft des ATSG siehe etwa Urteil des EVG vom 3. Januar 2006, I 554/05, E. 2.2). Eine revisionsbegründende Wandlung des Aufgabenbereichs (vgl. hierzu auch BGE 105 V 30 E. 1b mit Hinweis auf ZAK 1974 S. 53 E. 3) mit Blick auf die Kindsverhältnisse wurde verneint. Der Umstand, dass Kinder heranwachsen, bewirkt im vorliegenden Fall ebenfalls keine Wandlung des Aufgabenbereichs oder sonst wie eine Veränderung der tatsächlichen in der Person der Beschwerdeführerin liegenden Schadensverhältnisse. Die Beschwerdegegnerin legt im Übrigen weder nachvollziehbar dar noch ist ersichtlich, dass sich der tatsächliche Aufwand für die Betreuung der inzwischen 4 Kinder im Vergleich zu den bei der ursprünglichen Rentenzusprache berücksichtigten Familienverhältnissen (ein Kind) insgesamt wesentlich verringert hätte. Eine revisionserhebliche Veränderung der tatsächlichen Schadensverhältnisse aufgrund des Heranwachsens der Kinder ist damit zu verneinen; dies gilt rechtsprechungsgemäss umso mehr, als der Rentenanspruch nach der Geburt des zweiten Kindes unverändert geblieben ist (vgl. ZAK 1974 S. 54 oben, E. 3). 2.2.4  Die Aufhebung einer Rentenleistung der Anspruchsberechtigten (Eltern) unter Verweis auf die Schadenminderungspflicht einer anderen Person (Kinder) und damit eines nicht im Einflussbereich der versicherten Person liegenden Umstands (Ausübung einer Mithilfe im Aufgabenbereich durch das Kind) erscheint auch aus grundrechtlicher Sicht nicht unbedenklich. Im rechtskräftigen Urteil di Trizio vs. Schweiz vom 2. Februar 2016 (application no. 7186/09) betreffend die von den Sozialrechtlichen Abteilungen des Bundesgerichts in der Invalidenversicherung praktizierte sogenannte gemischte Methode zur Invaliditätsermittlung (vgl. hierzu BGE 130 V 393 und 125 V 146) wies der Europäische Gerichtshof für Menschenrechte auf die zentrale Bedeutung einer Gesetzesinterpretation im Licht der geschlechtlichen Gleichbehandlung hin. Es erblickte eine Verletzung der EMRK darin, dass eine zuvor erwerbstätige Frau allein wegen einer hypothetischen Reduktion des Erwerbspensums infolge Geburt leistungsrechtlich diskriminiert wurde (Urteil di Trizio vs. Schweiz, a.a.O., Rz 96 und 97; zum Ganzen siehe Entscheid des Versicherungsgerichts des Kantons St. Gallen vom 24. Mai 2016, IV 2014/125, E. 2.1.1 und E. 2.2.7, sowie KURT PÄRLI, Gemischte Methode der Invaliditätsbemessung verstösst gegen die EMRK, SZS 2016, S. 390 ff.). Im hier zu beurteilenden Fall würde die Beschwerdeführerin durch eine revisionsweise Rentenaufhebung doppelt benachteiligt. Zum einen findet die Anrechnung einer Schadenminderungspflicht von Angehörigen ausschliesslich bei Personen Anwendung, die teil- oder vollzeitlich im Aufgabenbereich tätig sind. Vollzeitlich Erwerbstätigen wird eine über die eigene Person hinausgehende Leistungsfähigkeit von Angehörigen oder Arbeitskollegen nicht aufgebürdet. Die Tatsache, dass die Mehrheit von Frauen im Aufgabenbereich tätig ist (vgl. Urteil di Trizio vs. Schweiz, a.a.O., Rz 43 f.), führt daher gegenüber in der Regel vollzeitlich erwerbstätigen Männern zu einer (mittelbaren) Diskriminierung aufgrund des Geschlechts (vgl. Urteil di Trizio vs. Schweiz, a.a.O., Rz 80 f. und Rz 103 f., sowie PÄRLI, a.a.O., S. 393 f.). Zum anderen wird die Beschwerdeführerin zusätzlich aufgrund ihrer familiären Situation bzw. in ihrer Eigenschaft als Mutter gegenüber kinderlosen, im Haushaltsbereich tätigen Frauen benachteiligt, die zwangsläufig nicht Gefahr laufen, aufgrund der Anrechnung einer Leistungsfähigkeit von Kindern ihre Rente zu verlieren. Vorliegend wäre es denn auch nicht zu einer Revision gekommen, wenn die Beschwerdeführerin kinderlos gewesen wäre. Die Aufhebung der vorliegenden Rentenleistung allein aufgrund des Heranwachsens von Kindern erscheint deshalb mit Art. 8 Abs. 2 und 3 der Bundesverfassung (BV; SR 101) und Art. 8 (Recht auf Achtung des Privat- und Familienlebens) der Konvention zum Schutze der Menschenrechte und Grundfreiheiten (EMRK; SR 0.101) i.V.m. Art. 14 EMRK (Diskriminierungsverbot) nicht vereinbar. 2.3  Nach dem Gesagten bestehen keine Gründe, die für eine revisionsrelevante Veränderung der individuellen Fähigkeit der Beschwerdeführerin sprechen, sich im Aufgabenbereich zu betätigen. Eine Anerkennung von allenfalls veränderten Verhältnissen der Leistungsfähigkeit der eigenen Kinder als Revisionsgrund im Sinn von Art. 17 Abs. 1 ATSG unter dem Aspekt der Schadenminderungspflicht lässt sich mit dem in der Invalidenversicherung versicherten Rechtsgut (Fähigkeit zur Haushaltsbesorgung) und Schaden (Verlust der Fähigkeit zur Haushaltsbesorgung) nicht rechtfertigen. Aufgrund der daraus sowohl gegenüber Männern als auch kinderlosen, im Aufgabenbereich tätigen Frauen resultierenden Benachteiligung erscheint die von der Beschwerdegegnerin verfügte Rentenaufhebung zudem verfassungs- und EMRK-widrig. Die verfügte Rentenaufhebung erweist sich als unrechtmässig. Der Beschwerdegegnerin steht es für die Zukunft frei, bei allenfalls veränderten gesundheitlichen Verhältnissen, etwa in Form einer besseren Leidensanpassung, erneut ein Revisionsverfahren einzuleiten.</w:t>
      </w:r>
    </w:p>
    <w:p>
      <w:r>
        <w:rPr>
          <w:b/>
        </w:rPr>
        <w:t>E. 3</w:t>
      </w:r>
    </w:p>
    <w:p>
      <w:r>
        <w:t>Ein Rückkommen auf die ursprüngliche Rentenzusprache gestützt auf lit. a der Schlussbestimmungen der Änderung des IVG vom 18. März 2011 scheidet aus. Denn die Beschwerdeführerin hat im Zeitpunkt, in dem die Überprüfung eingeleitet worden ist, bereits seit mehr als 15 Jahren Rentenleistungen bezogen (lit. a Abs. 4 der Schlussbestimmungen), was die Beschwerdegegnerin anerkennt (act. G 6, Rz 5, und IV-act. 138). Weiterungen hierzu erübrigen sich daher.</w:t>
      </w:r>
    </w:p>
    <w:p>
      <w:r>
        <w:rPr>
          <w:b/>
        </w:rPr>
        <w:t>E. 4</w:t>
      </w:r>
    </w:p>
    <w:p>
      <w:r>
        <w:t>4.1  In Gutheissung der Beschwerde ist die angefochtene Verfügung vom 10. Juni 2014 aufzuheben. 4.2  Das Beschwerdeverfahren ist kostenpflichtig. Die Kosten werden nach dem Verfahrensaufwand und unabhängig vom Streitwert im Rahmen von Fr. 200.-- bis Fr. 1'000.-- festgelegt (Art. 69 Abs. 1bis IVG). Eine Gerichtsgebühr von Fr. 600.-- erscheint als angemessen. Die unterliegende Beschwerdegegnerin hat die gesamte Gerichtsgebühr von Fr. 600.-- zu bezahlen. Der von der Beschwerdeführerin geleistete Kostenvorschuss von Fr. 600.-- ist ihr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4.3.1  Der Rechtsvertreter der Beschwerdeführerin hat am 7. April 2015 eine Kostennote eingereicht, worin er für einen zeitlichen Aufwand von 17,48 Stunden eine Entschädigung von Fr. 4'908.40 (einschliesslich Barauslagen und Mehrwertsteuer) geltend macht (act. G 22). 4.3.2  Vorweg ist darauf hinzuweisen, dass nicht der geltend gemachte, sondern nur der notwendige Aufwand zu entschädigen ist (Urteil des Bundesgerichts vom 25. Februar 2009, 8C_140/2008, E. 11.4 mit Hinweisen). Bei einer Rechtsvertretung im gesamten Beschwerdeverfahren wird in vergleichbar aufwändigen invalidenversicherungsrechtlichen Fällen praxisgemäss eine pauschale Parteientschädigung von Fr. 3'500.-- (einschliesslich Barauslagen und Mehrwertsteuer) gesprochen (vgl. etwa Entscheid des Versicherungsgerichts vom 10. Dezember 2014, IV 2012/471). 4.3.3  Mit Blick auf den zu beurteilenden Sachverhalt und die sich stellenden Fragen kann von einem durchschnittlichen Fall gesprochen werden, der einen erfahrenen Anwalt nicht vor besondere Schwierigkeiten stellt. Die Akten und die Beschwerdeantwort (act. G 6) waren nicht umfangreich. Hinzu kommt, dass der Rechtsvertreter bereits seit Januar 2013 die Interessen der Beschwerdeführerin im invalidenversicherungsrechtlichen Verfahren vertritt (IV-act. 124) und mit der Angelegenheit sowie den Akten schon vor der Beschwerdeerhebung vertraut war. Damit geht einher, dass die Begründung der Beschwerde hinsichtlich der materiellen Vorbringen zu einem erheblichen Teil dem Einwand vom 3. April 2014 (IV-act. 150) und der ergänzenden Eingabe vom 9. Mai 2014 (IV-act. 152) entspricht. Der geltend gemachte Aufwand von 17,48 Stunden geht damit eindeutig über das Notwendige hinaus. Er enthält überdies auch Aufwand, der nicht den vorliegend massgebenden Zeitraum bis zur angefochtenen Verfügung betrifft (siehe etwa die Eingabe vom 9. März 2015, act. G 20, bezüglich der zwischenzeitlich veränderten Ausbildungssituation eines Kindes der Beschwerdeführerin). 4.3.4  Der Bedeutung der Streitsache und dem notwendigen Aufwand angemessen erscheint deshalb eine Parteientschädigung von pauschal Fr. 3'500.-- (inklusive Barauslagen und Mehrwertsteuer). Ein weitergehender Aufwand kann nicht entschädigt werden. Entscheid 1. In Gutheissung der Beschwerde wird die Verfügung vom 10. Juni 2014 aufgehoben.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